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481" w:rsidRDefault="000D5481" w:rsidP="000D5481">
      <w:pPr>
        <w:jc w:val="center"/>
        <w:rPr>
          <w:rFonts w:ascii="宋体" w:eastAsia="宋体" w:hAnsi="宋体" w:cs="宋体" w:hint="eastAsia"/>
          <w:sz w:val="28"/>
          <w:szCs w:val="28"/>
        </w:rPr>
      </w:pPr>
      <w:r>
        <w:rPr>
          <w:rFonts w:ascii="宋体" w:eastAsia="宋体" w:hAnsi="宋体" w:cs="宋体" w:hint="eastAsia"/>
          <w:sz w:val="28"/>
          <w:szCs w:val="28"/>
        </w:rPr>
        <w:t>2017年日语教育与日本学国际研讨会在同济大学隆重召开</w:t>
      </w:r>
    </w:p>
    <w:p w:rsidR="000D5481" w:rsidRDefault="000D5481" w:rsidP="000D5481">
      <w:pPr>
        <w:rPr>
          <w:rFonts w:ascii="宋体" w:eastAsia="宋体" w:hAnsi="宋体" w:cs="宋体" w:hint="eastAsia"/>
        </w:rPr>
      </w:pPr>
    </w:p>
    <w:p w:rsidR="000D5481" w:rsidRDefault="000D5481" w:rsidP="000D5481">
      <w:pPr>
        <w:rPr>
          <w:rFonts w:ascii="宋体" w:eastAsia="宋体" w:hAnsi="宋体" w:cs="宋体" w:hint="eastAsia"/>
        </w:rPr>
      </w:pPr>
      <w:r>
        <w:rPr>
          <w:rFonts w:ascii="宋体" w:eastAsia="宋体" w:hAnsi="宋体" w:cs="宋体" w:hint="eastAsia"/>
        </w:rPr>
        <w:t xml:space="preserve">    2017年5月13日、14日，由中国日语教学研究会上海分会主办、同济大学外国语学院日语系承办的“2017年日语教育与日本学研究国际研讨会——跨文化语境下的日语教学”在同济大学外国语学院隆重举行。本次研讨会旨在为国内外教师及研究人员提供相互交流切磋之平台，共同就如何推进跨文化交流背景下日语教育与日本学研究的发展，展开深入的交流和探讨，为我国日语教学改革提供助力。</w:t>
      </w:r>
    </w:p>
    <w:p w:rsidR="000D5481" w:rsidRDefault="000D5481" w:rsidP="000D5481">
      <w:pPr>
        <w:rPr>
          <w:rFonts w:ascii="宋体" w:eastAsia="宋体" w:hAnsi="宋体" w:cs="宋体" w:hint="eastAsia"/>
        </w:rPr>
      </w:pPr>
      <w:r>
        <w:rPr>
          <w:rFonts w:ascii="宋体" w:eastAsia="宋体" w:hAnsi="宋体" w:cs="宋体" w:hint="eastAsia"/>
        </w:rPr>
        <w:t xml:space="preserve">    本次研讨会吸引了国内外120余所高校，220余位教师及研究人员参会，其中包括北京大学、上海交通大学、复旦大学、东南大学、厦门大学等国内知名院校，以及大阪大学、名古屋大学、早稻田大学、九州大学、东北大学等日本知名院校的研究人员。中国日语教育研究会副会长、上海外国语大学日本文化经济学院院长许慈惠为研讨会致辞；东京大学教授、原日本比较文学会会长井上健、筑波大学教授今井新悟、东北大学教授佐</w:t>
      </w:r>
      <w:proofErr w:type="gramStart"/>
      <w:r>
        <w:rPr>
          <w:rFonts w:ascii="宋体" w:eastAsia="宋体" w:hAnsi="宋体" w:cs="宋体" w:hint="eastAsia"/>
        </w:rPr>
        <w:t>藤势纪</w:t>
      </w:r>
      <w:proofErr w:type="gramEnd"/>
      <w:r>
        <w:rPr>
          <w:rFonts w:ascii="宋体" w:eastAsia="宋体" w:hAnsi="宋体" w:cs="宋体" w:hint="eastAsia"/>
        </w:rPr>
        <w:t>子、北京语言大学教授周阅、都留文科大学名誉教授田中实等知名学者为研讨会作了精彩的基调讲演；220余位教师及研究人员就各自的研究课题展开了热烈的讨论。</w:t>
      </w:r>
    </w:p>
    <w:p w:rsidR="000D5481" w:rsidRDefault="000D5481" w:rsidP="000D5481">
      <w:pPr>
        <w:rPr>
          <w:rFonts w:ascii="宋体" w:eastAsia="宋体" w:hAnsi="宋体" w:cs="宋体" w:hint="eastAsia"/>
        </w:rPr>
      </w:pPr>
      <w:r>
        <w:rPr>
          <w:rFonts w:ascii="宋体" w:eastAsia="宋体" w:hAnsi="宋体" w:cs="宋体" w:hint="eastAsia"/>
        </w:rPr>
        <w:t xml:space="preserve">    为了充分发挥资深学者的引领作用，更好地传递学科研究的前沿理论和方法，本次研讨会还特别安排了18名国内外资深学者，分日本语言、日本文学、日本社会及文化、日语教育等6</w:t>
      </w:r>
      <w:proofErr w:type="gramStart"/>
      <w:r>
        <w:rPr>
          <w:rFonts w:ascii="宋体" w:eastAsia="宋体" w:hAnsi="宋体" w:cs="宋体" w:hint="eastAsia"/>
        </w:rPr>
        <w:t>各</w:t>
      </w:r>
      <w:proofErr w:type="gramEnd"/>
      <w:r>
        <w:rPr>
          <w:rFonts w:ascii="宋体" w:eastAsia="宋体" w:hAnsi="宋体" w:cs="宋体" w:hint="eastAsia"/>
        </w:rPr>
        <w:t>会场，举行了特别演讲；同时，安排了20余名国内外知名专家，分日语翻译、日本经济2个论坛，就日语翻译和日本经济等问题进行了热烈的讨论。</w:t>
      </w:r>
    </w:p>
    <w:p w:rsidR="000D5481" w:rsidRDefault="000D5481" w:rsidP="000D5481">
      <w:pPr>
        <w:ind w:firstLineChars="200" w:firstLine="480"/>
        <w:rPr>
          <w:rFonts w:ascii="宋体" w:eastAsia="宋体" w:hAnsi="宋体" w:cs="宋体" w:hint="eastAsia"/>
        </w:rPr>
      </w:pPr>
      <w:r>
        <w:rPr>
          <w:rFonts w:ascii="宋体" w:eastAsia="宋体" w:hAnsi="宋体" w:cs="宋体" w:hint="eastAsia"/>
        </w:rPr>
        <w:t>与此同时，本次研讨会延续上届传统，继续设立“研究生学术论坛”，分成日语语言学、日语教育、日本文化、日本文学四个会场，邀请资深学者对研究生的研究成果进行点评、指导，并根据研究内容逐个打分。经过专家的严格评审，以上四个分会场分别评选出了优秀论文奖。我校日语系本科生吴佩瑶（四年级）发表的论文“</w:t>
      </w:r>
      <w:r>
        <w:rPr>
          <w:rFonts w:ascii="宋体" w:eastAsia="宋体" w:hAnsi="宋体" w:cs="宋体" w:hint="eastAsia"/>
          <w:color w:val="333333"/>
        </w:rPr>
        <w:t>近代初期日本佛教的排耶论</w:t>
      </w:r>
      <w:r>
        <w:rPr>
          <w:rFonts w:ascii="宋体" w:eastAsia="宋体" w:hAnsi="宋体" w:cs="宋体" w:hint="eastAsia"/>
        </w:rPr>
        <w:t>”；郭潇颖（四年级）与邢烁（三年级）共同发表的论文“</w:t>
      </w:r>
      <w:r>
        <w:rPr>
          <w:rFonts w:ascii="宋体" w:eastAsia="宋体" w:hAnsi="宋体" w:cs="宋体" w:hint="eastAsia"/>
          <w:color w:val="333333"/>
        </w:rPr>
        <w:t>佛教对日本侵华战争责任的影响--以净土真宗为例</w:t>
      </w:r>
      <w:r>
        <w:rPr>
          <w:rFonts w:ascii="宋体" w:eastAsia="宋体" w:hAnsi="宋体" w:cs="宋体" w:hint="eastAsia"/>
        </w:rPr>
        <w:t>”，在大阪大学、北京外国语大学、法政大学等强手如林的文化组中，脱颖而出，包揽文化组一等奖和二等奖，充分展现了我校在日语教学实践与创新活动中取得的卓越成果。各组别的具体获奖情况如下：</w:t>
      </w:r>
    </w:p>
    <w:p w:rsidR="000D5481" w:rsidRDefault="000D5481" w:rsidP="000D5481">
      <w:pPr>
        <w:jc w:val="center"/>
        <w:rPr>
          <w:rFonts w:ascii="宋体" w:eastAsia="宋体" w:hAnsi="宋体" w:cs="宋体"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2025"/>
        <w:gridCol w:w="1650"/>
        <w:gridCol w:w="1860"/>
        <w:gridCol w:w="2130"/>
      </w:tblGrid>
      <w:tr w:rsidR="000D5481" w:rsidTr="007F3014">
        <w:tblPrEx>
          <w:tblCellMar>
            <w:top w:w="0" w:type="dxa"/>
            <w:bottom w:w="0" w:type="dxa"/>
          </w:tblCellMar>
        </w:tblPrEx>
        <w:tc>
          <w:tcPr>
            <w:tcW w:w="856" w:type="dxa"/>
          </w:tcPr>
          <w:p w:rsidR="000D5481" w:rsidRDefault="000D5481" w:rsidP="007F3014">
            <w:pPr>
              <w:jc w:val="center"/>
              <w:rPr>
                <w:rFonts w:ascii="宋体" w:eastAsia="宋体" w:hAnsi="宋体" w:cs="宋体" w:hint="eastAsia"/>
                <w:sz w:val="21"/>
                <w:szCs w:val="21"/>
              </w:rPr>
            </w:pPr>
          </w:p>
        </w:tc>
        <w:tc>
          <w:tcPr>
            <w:tcW w:w="2025" w:type="dxa"/>
          </w:tcPr>
          <w:p w:rsidR="000D5481" w:rsidRDefault="000D5481" w:rsidP="007F3014">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日语语言学</w:t>
            </w:r>
          </w:p>
        </w:tc>
        <w:tc>
          <w:tcPr>
            <w:tcW w:w="1650" w:type="dxa"/>
          </w:tcPr>
          <w:p w:rsidR="000D5481" w:rsidRDefault="000D5481" w:rsidP="007F3014">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日语教育</w:t>
            </w:r>
          </w:p>
        </w:tc>
        <w:tc>
          <w:tcPr>
            <w:tcW w:w="1860" w:type="dxa"/>
          </w:tcPr>
          <w:p w:rsidR="000D5481" w:rsidRDefault="000D5481" w:rsidP="007F3014">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日本文化</w:t>
            </w:r>
          </w:p>
        </w:tc>
        <w:tc>
          <w:tcPr>
            <w:tcW w:w="2130" w:type="dxa"/>
          </w:tcPr>
          <w:p w:rsidR="000D5481" w:rsidRDefault="000D5481" w:rsidP="007F3014">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日本文学</w:t>
            </w:r>
          </w:p>
        </w:tc>
      </w:tr>
      <w:tr w:rsidR="000D5481" w:rsidTr="007F3014">
        <w:tblPrEx>
          <w:tblCellMar>
            <w:top w:w="0" w:type="dxa"/>
            <w:bottom w:w="0" w:type="dxa"/>
          </w:tblCellMar>
        </w:tblPrEx>
        <w:tc>
          <w:tcPr>
            <w:tcW w:w="856" w:type="dxa"/>
          </w:tcPr>
          <w:p w:rsidR="000D5481" w:rsidRDefault="000D5481" w:rsidP="007F3014">
            <w:pPr>
              <w:rPr>
                <w:rFonts w:ascii="宋体" w:eastAsia="宋体" w:hAnsi="宋体" w:cs="宋体" w:hint="eastAsia"/>
                <w:b/>
                <w:bCs/>
                <w:sz w:val="21"/>
                <w:szCs w:val="21"/>
              </w:rPr>
            </w:pPr>
            <w:r>
              <w:rPr>
                <w:rFonts w:ascii="宋体" w:eastAsia="宋体" w:hAnsi="宋体" w:cs="宋体" w:hint="eastAsia"/>
                <w:b/>
                <w:bCs/>
                <w:sz w:val="21"/>
                <w:szCs w:val="21"/>
              </w:rPr>
              <w:t>一等奖</w:t>
            </w:r>
          </w:p>
        </w:tc>
        <w:tc>
          <w:tcPr>
            <w:tcW w:w="2025" w:type="dxa"/>
          </w:tcPr>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sz w:val="21"/>
                <w:szCs w:val="21"/>
              </w:rPr>
              <w:t>空缺</w:t>
            </w:r>
          </w:p>
        </w:tc>
        <w:tc>
          <w:tcPr>
            <w:tcW w:w="1650" w:type="dxa"/>
          </w:tcPr>
          <w:p w:rsidR="000D5481" w:rsidRDefault="000D5481" w:rsidP="007F3014">
            <w:pPr>
              <w:spacing w:line="360" w:lineRule="auto"/>
              <w:jc w:val="center"/>
              <w:rPr>
                <w:rFonts w:ascii="宋体" w:eastAsia="宋体" w:hAnsi="宋体" w:cs="宋体" w:hint="eastAsia"/>
                <w:color w:val="333333"/>
                <w:sz w:val="21"/>
                <w:szCs w:val="21"/>
                <w:lang w:eastAsia="ja-JP"/>
              </w:rPr>
            </w:pPr>
            <w:r>
              <w:rPr>
                <w:rFonts w:ascii="宋体" w:eastAsia="宋体" w:hAnsi="宋体" w:cs="宋体" w:hint="eastAsia"/>
                <w:color w:val="333333"/>
                <w:sz w:val="21"/>
                <w:szCs w:val="21"/>
                <w:lang w:eastAsia="ja-JP"/>
              </w:rPr>
              <w:t>丹波秀夫</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（复旦大学）</w:t>
            </w:r>
          </w:p>
        </w:tc>
        <w:tc>
          <w:tcPr>
            <w:tcW w:w="1860" w:type="dxa"/>
          </w:tcPr>
          <w:p w:rsidR="000D5481" w:rsidRDefault="000D5481" w:rsidP="007F3014">
            <w:pPr>
              <w:spacing w:line="360" w:lineRule="auto"/>
              <w:jc w:val="center"/>
              <w:rPr>
                <w:rFonts w:ascii="宋体" w:eastAsia="宋体" w:hAnsi="宋体" w:cs="宋体" w:hint="eastAsia"/>
                <w:color w:val="333333"/>
                <w:sz w:val="21"/>
                <w:szCs w:val="21"/>
              </w:rPr>
            </w:pPr>
            <w:r>
              <w:rPr>
                <w:rFonts w:ascii="宋体" w:eastAsia="宋体" w:hAnsi="宋体" w:cs="宋体" w:hint="eastAsia"/>
                <w:color w:val="333333"/>
                <w:sz w:val="21"/>
                <w:szCs w:val="21"/>
              </w:rPr>
              <w:t>吴佩瑶</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（同济大学）</w:t>
            </w:r>
          </w:p>
        </w:tc>
        <w:tc>
          <w:tcPr>
            <w:tcW w:w="2130" w:type="dxa"/>
          </w:tcPr>
          <w:p w:rsidR="000D5481" w:rsidRDefault="000D5481" w:rsidP="007F3014">
            <w:pPr>
              <w:spacing w:line="360" w:lineRule="auto"/>
              <w:jc w:val="center"/>
              <w:rPr>
                <w:rFonts w:ascii="宋体" w:eastAsia="宋体" w:hAnsi="宋体" w:cs="宋体" w:hint="eastAsia"/>
                <w:color w:val="333333"/>
                <w:sz w:val="21"/>
                <w:szCs w:val="21"/>
              </w:rPr>
            </w:pPr>
            <w:r>
              <w:rPr>
                <w:rFonts w:ascii="宋体" w:eastAsia="宋体" w:hAnsi="宋体" w:cs="宋体" w:hint="eastAsia"/>
                <w:color w:val="333333"/>
                <w:sz w:val="21"/>
                <w:szCs w:val="21"/>
              </w:rPr>
              <w:t>閻紹</w:t>
            </w:r>
            <w:proofErr w:type="gramStart"/>
            <w:r>
              <w:rPr>
                <w:rFonts w:ascii="宋体" w:eastAsia="宋体" w:hAnsi="宋体" w:cs="宋体" w:hint="eastAsia"/>
                <w:color w:val="333333"/>
                <w:sz w:val="21"/>
                <w:szCs w:val="21"/>
              </w:rPr>
              <w:t>婕</w:t>
            </w:r>
            <w:proofErr w:type="gramEnd"/>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（九州大学）</w:t>
            </w:r>
          </w:p>
        </w:tc>
      </w:tr>
      <w:tr w:rsidR="000D5481" w:rsidTr="007F3014">
        <w:tblPrEx>
          <w:tblCellMar>
            <w:top w:w="0" w:type="dxa"/>
            <w:bottom w:w="0" w:type="dxa"/>
          </w:tblCellMar>
        </w:tblPrEx>
        <w:tc>
          <w:tcPr>
            <w:tcW w:w="856" w:type="dxa"/>
          </w:tcPr>
          <w:p w:rsidR="000D5481" w:rsidRDefault="000D5481" w:rsidP="007F3014">
            <w:pPr>
              <w:rPr>
                <w:rFonts w:ascii="宋体" w:eastAsia="宋体" w:hAnsi="宋体" w:cs="宋体" w:hint="eastAsia"/>
                <w:b/>
                <w:bCs/>
                <w:sz w:val="21"/>
                <w:szCs w:val="21"/>
              </w:rPr>
            </w:pPr>
            <w:r>
              <w:rPr>
                <w:rFonts w:ascii="宋体" w:eastAsia="宋体" w:hAnsi="宋体" w:cs="宋体" w:hint="eastAsia"/>
                <w:b/>
                <w:bCs/>
                <w:sz w:val="21"/>
                <w:szCs w:val="21"/>
              </w:rPr>
              <w:t>二等奖</w:t>
            </w:r>
          </w:p>
        </w:tc>
        <w:tc>
          <w:tcPr>
            <w:tcW w:w="2025" w:type="dxa"/>
          </w:tcPr>
          <w:p w:rsidR="000D5481" w:rsidRDefault="000D5481" w:rsidP="007F3014">
            <w:pPr>
              <w:spacing w:line="360" w:lineRule="auto"/>
              <w:jc w:val="center"/>
              <w:rPr>
                <w:rFonts w:ascii="宋体" w:eastAsia="宋体" w:hAnsi="宋体" w:cs="宋体" w:hint="eastAsia"/>
                <w:color w:val="333333"/>
                <w:sz w:val="21"/>
                <w:szCs w:val="21"/>
                <w:lang w:eastAsia="ja-JP"/>
              </w:rPr>
            </w:pPr>
            <w:r>
              <w:rPr>
                <w:rFonts w:ascii="宋体" w:eastAsia="宋体" w:hAnsi="宋体" w:cs="宋体" w:hint="eastAsia"/>
                <w:color w:val="333333"/>
                <w:sz w:val="21"/>
                <w:szCs w:val="21"/>
                <w:lang w:eastAsia="ja-JP"/>
              </w:rPr>
              <w:t>赵鑫</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（上海外国语大学）</w:t>
            </w:r>
          </w:p>
        </w:tc>
        <w:tc>
          <w:tcPr>
            <w:tcW w:w="1650" w:type="dxa"/>
          </w:tcPr>
          <w:p w:rsidR="000D5481" w:rsidRDefault="000D5481" w:rsidP="007F3014">
            <w:pPr>
              <w:spacing w:line="360" w:lineRule="auto"/>
              <w:jc w:val="center"/>
              <w:rPr>
                <w:rFonts w:ascii="宋体" w:eastAsia="宋体" w:hAnsi="宋体" w:cs="宋体" w:hint="eastAsia"/>
                <w:color w:val="333333"/>
                <w:sz w:val="21"/>
                <w:szCs w:val="21"/>
                <w:lang w:eastAsia="ja-JP"/>
              </w:rPr>
            </w:pPr>
            <w:r>
              <w:rPr>
                <w:rFonts w:ascii="宋体" w:eastAsia="宋体" w:hAnsi="宋体" w:cs="宋体" w:hint="eastAsia"/>
                <w:color w:val="333333"/>
                <w:sz w:val="21"/>
                <w:szCs w:val="21"/>
                <w:lang w:eastAsia="ja-JP"/>
              </w:rPr>
              <w:t>王腾</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（大阪大学）</w:t>
            </w:r>
          </w:p>
        </w:tc>
        <w:tc>
          <w:tcPr>
            <w:tcW w:w="1860" w:type="dxa"/>
          </w:tcPr>
          <w:p w:rsidR="000D5481" w:rsidRDefault="000D5481" w:rsidP="007F3014">
            <w:pPr>
              <w:spacing w:line="360" w:lineRule="auto"/>
              <w:jc w:val="center"/>
              <w:rPr>
                <w:rFonts w:ascii="宋体" w:eastAsia="宋体" w:hAnsi="宋体" w:cs="宋体" w:hint="eastAsia"/>
                <w:color w:val="333333"/>
                <w:sz w:val="21"/>
                <w:szCs w:val="21"/>
              </w:rPr>
            </w:pPr>
            <w:r>
              <w:rPr>
                <w:rFonts w:ascii="宋体" w:eastAsia="宋体" w:hAnsi="宋体" w:cs="宋体" w:hint="eastAsia"/>
                <w:color w:val="333333"/>
                <w:sz w:val="21"/>
                <w:szCs w:val="21"/>
              </w:rPr>
              <w:t>郭潇颖、邢烁</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（同济大学）</w:t>
            </w:r>
          </w:p>
        </w:tc>
        <w:tc>
          <w:tcPr>
            <w:tcW w:w="2130" w:type="dxa"/>
          </w:tcPr>
          <w:p w:rsidR="000D5481" w:rsidRDefault="000D5481" w:rsidP="007F3014">
            <w:pPr>
              <w:spacing w:line="360" w:lineRule="auto"/>
              <w:jc w:val="center"/>
              <w:rPr>
                <w:rFonts w:ascii="宋体" w:eastAsia="宋体" w:hAnsi="宋体" w:cs="宋体" w:hint="eastAsia"/>
                <w:color w:val="333333"/>
                <w:sz w:val="21"/>
                <w:szCs w:val="21"/>
                <w:lang w:eastAsia="ja-JP"/>
              </w:rPr>
            </w:pPr>
            <w:r>
              <w:rPr>
                <w:rFonts w:ascii="宋体" w:eastAsia="宋体" w:hAnsi="宋体" w:cs="宋体" w:hint="eastAsia"/>
                <w:color w:val="333333"/>
                <w:sz w:val="21"/>
                <w:szCs w:val="21"/>
              </w:rPr>
              <w:t>吕</w:t>
            </w:r>
            <w:r>
              <w:rPr>
                <w:rFonts w:ascii="宋体" w:eastAsia="宋体" w:hAnsi="宋体" w:cs="宋体" w:hint="eastAsia"/>
                <w:color w:val="333333"/>
                <w:sz w:val="21"/>
                <w:szCs w:val="21"/>
                <w:lang w:eastAsia="ja-JP"/>
              </w:rPr>
              <w:t>佳蓉</w:t>
            </w:r>
          </w:p>
          <w:p w:rsidR="000D5481" w:rsidRDefault="000D5481" w:rsidP="007F3014">
            <w:pPr>
              <w:spacing w:line="360" w:lineRule="auto"/>
              <w:jc w:val="center"/>
              <w:rPr>
                <w:rFonts w:ascii="宋体" w:eastAsia="宋体" w:hAnsi="宋体" w:cs="宋体" w:hint="eastAsia"/>
                <w:color w:val="333333"/>
                <w:sz w:val="21"/>
                <w:szCs w:val="21"/>
              </w:rPr>
            </w:pPr>
            <w:r>
              <w:rPr>
                <w:rFonts w:ascii="宋体" w:eastAsia="宋体" w:hAnsi="宋体" w:cs="宋体" w:hint="eastAsia"/>
                <w:color w:val="333333"/>
                <w:sz w:val="21"/>
                <w:szCs w:val="21"/>
              </w:rPr>
              <w:t>（北京外国语大学）</w:t>
            </w:r>
          </w:p>
        </w:tc>
      </w:tr>
      <w:tr w:rsidR="000D5481" w:rsidTr="007F3014">
        <w:tblPrEx>
          <w:tblCellMar>
            <w:top w:w="0" w:type="dxa"/>
            <w:bottom w:w="0" w:type="dxa"/>
          </w:tblCellMar>
        </w:tblPrEx>
        <w:tc>
          <w:tcPr>
            <w:tcW w:w="856" w:type="dxa"/>
          </w:tcPr>
          <w:p w:rsidR="000D5481" w:rsidRDefault="000D5481" w:rsidP="007F3014">
            <w:pPr>
              <w:rPr>
                <w:rFonts w:ascii="宋体" w:eastAsia="宋体" w:hAnsi="宋体" w:cs="宋体" w:hint="eastAsia"/>
                <w:b/>
                <w:bCs/>
                <w:sz w:val="21"/>
                <w:szCs w:val="21"/>
              </w:rPr>
            </w:pPr>
            <w:r>
              <w:rPr>
                <w:rFonts w:ascii="宋体" w:eastAsia="宋体" w:hAnsi="宋体" w:cs="宋体" w:hint="eastAsia"/>
                <w:b/>
                <w:bCs/>
                <w:sz w:val="21"/>
                <w:szCs w:val="21"/>
              </w:rPr>
              <w:t>三等奖</w:t>
            </w:r>
          </w:p>
        </w:tc>
        <w:tc>
          <w:tcPr>
            <w:tcW w:w="2025" w:type="dxa"/>
          </w:tcPr>
          <w:p w:rsidR="000D5481" w:rsidRDefault="000D5481" w:rsidP="007F3014">
            <w:pPr>
              <w:spacing w:line="360" w:lineRule="auto"/>
              <w:jc w:val="center"/>
              <w:rPr>
                <w:rFonts w:ascii="宋体" w:eastAsia="宋体" w:hAnsi="宋体" w:cs="宋体" w:hint="eastAsia"/>
                <w:color w:val="333333"/>
                <w:sz w:val="21"/>
                <w:szCs w:val="21"/>
              </w:rPr>
            </w:pPr>
            <w:r>
              <w:rPr>
                <w:rFonts w:ascii="宋体" w:eastAsia="宋体" w:hAnsi="宋体" w:cs="宋体" w:hint="eastAsia"/>
                <w:color w:val="333333"/>
                <w:sz w:val="21"/>
                <w:szCs w:val="21"/>
              </w:rPr>
              <w:t>连路</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（上海外国语大学）</w:t>
            </w:r>
          </w:p>
        </w:tc>
        <w:tc>
          <w:tcPr>
            <w:tcW w:w="1650" w:type="dxa"/>
          </w:tcPr>
          <w:p w:rsidR="000D5481" w:rsidRDefault="000D5481" w:rsidP="007F3014">
            <w:pPr>
              <w:spacing w:line="360" w:lineRule="auto"/>
              <w:jc w:val="center"/>
              <w:rPr>
                <w:rFonts w:ascii="宋体" w:eastAsia="宋体" w:hAnsi="宋体" w:cs="宋体" w:hint="eastAsia"/>
                <w:color w:val="333333"/>
                <w:sz w:val="21"/>
                <w:szCs w:val="21"/>
                <w:lang w:eastAsia="ja-JP"/>
              </w:rPr>
            </w:pPr>
            <w:r>
              <w:rPr>
                <w:rFonts w:ascii="宋体" w:eastAsia="宋体" w:hAnsi="宋体" w:cs="宋体" w:hint="eastAsia"/>
                <w:color w:val="333333"/>
                <w:sz w:val="21"/>
                <w:szCs w:val="21"/>
                <w:lang w:eastAsia="ja-JP"/>
              </w:rPr>
              <w:t>李夢迪</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color w:val="333333"/>
                <w:sz w:val="21"/>
                <w:szCs w:val="21"/>
              </w:rPr>
              <w:t>（名古屋大学）</w:t>
            </w:r>
          </w:p>
        </w:tc>
        <w:tc>
          <w:tcPr>
            <w:tcW w:w="1860" w:type="dxa"/>
          </w:tcPr>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sz w:val="21"/>
                <w:szCs w:val="21"/>
              </w:rPr>
              <w:t>陈亚运</w:t>
            </w:r>
          </w:p>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sz w:val="21"/>
                <w:szCs w:val="21"/>
              </w:rPr>
              <w:t>（东京学艺大学）</w:t>
            </w:r>
          </w:p>
        </w:tc>
        <w:tc>
          <w:tcPr>
            <w:tcW w:w="2130" w:type="dxa"/>
          </w:tcPr>
          <w:p w:rsidR="000D5481" w:rsidRDefault="000D5481" w:rsidP="007F3014">
            <w:pPr>
              <w:spacing w:line="360" w:lineRule="auto"/>
              <w:jc w:val="center"/>
              <w:rPr>
                <w:rFonts w:ascii="宋体" w:eastAsia="宋体" w:hAnsi="宋体" w:cs="宋体" w:hint="eastAsia"/>
                <w:sz w:val="21"/>
                <w:szCs w:val="21"/>
              </w:rPr>
            </w:pPr>
            <w:r>
              <w:rPr>
                <w:rFonts w:ascii="宋体" w:eastAsia="宋体" w:hAnsi="宋体" w:cs="宋体" w:hint="eastAsia"/>
                <w:sz w:val="21"/>
                <w:szCs w:val="21"/>
              </w:rPr>
              <w:t>空缺</w:t>
            </w:r>
          </w:p>
        </w:tc>
      </w:tr>
    </w:tbl>
    <w:p w:rsidR="000D5481" w:rsidRDefault="000D5481" w:rsidP="000D5481">
      <w:pPr>
        <w:rPr>
          <w:rFonts w:ascii="宋体" w:eastAsia="宋体" w:hAnsi="宋体" w:cs="宋体" w:hint="eastAsia"/>
          <w:color w:val="FF0000"/>
        </w:rPr>
      </w:pPr>
    </w:p>
    <w:p w:rsidR="000D5481" w:rsidRDefault="000D5481" w:rsidP="000D5481">
      <w:pPr>
        <w:ind w:firstLineChars="200" w:firstLine="480"/>
        <w:rPr>
          <w:rFonts w:ascii="宋体" w:eastAsia="宋体" w:hAnsi="宋体" w:cs="宋体" w:hint="eastAsia"/>
        </w:rPr>
      </w:pPr>
      <w:r>
        <w:rPr>
          <w:rFonts w:ascii="宋体" w:eastAsia="宋体" w:hAnsi="宋体" w:cs="宋体" w:hint="eastAsia"/>
        </w:rPr>
        <w:t>本次研讨会作为同济大学110年校庆的学术活动之一，得到了同济大学文科</w:t>
      </w:r>
      <w:r>
        <w:rPr>
          <w:rFonts w:ascii="宋体" w:eastAsia="宋体" w:hAnsi="宋体" w:cs="宋体" w:hint="eastAsia"/>
        </w:rPr>
        <w:lastRenderedPageBreak/>
        <w:t>办公室的大力支持。大会有效地促进了国内外专家学者的学术交流，发展壮大了中国日语教育与日本学研究的教师队伍，对中日两国人文交流的发展起到了推波助澜的作用。</w:t>
      </w:r>
    </w:p>
    <w:p w:rsidR="000D5481" w:rsidRDefault="000D5481" w:rsidP="000D5481">
      <w:pPr>
        <w:ind w:right="880"/>
        <w:jc w:val="center"/>
        <w:rPr>
          <w:rFonts w:ascii="楷体" w:eastAsia="楷体" w:hAnsi="楷体" w:cs="Arial"/>
          <w:color w:val="333333"/>
          <w:sz w:val="44"/>
          <w:szCs w:val="20"/>
          <w:lang w:eastAsia="ja-JP"/>
        </w:rPr>
      </w:pPr>
    </w:p>
    <w:p w:rsidR="000D5481" w:rsidRDefault="000D5481" w:rsidP="000D5481">
      <w:pPr>
        <w:ind w:firstLineChars="200" w:firstLine="480"/>
        <w:rPr>
          <w:rFonts w:hint="eastAsia"/>
        </w:rPr>
      </w:pPr>
    </w:p>
    <w:p w:rsidR="000D5481" w:rsidRDefault="000D5481" w:rsidP="000D5481">
      <w:pPr>
        <w:rPr>
          <w:rFonts w:hint="eastAsia"/>
        </w:rPr>
      </w:pPr>
      <w:r>
        <w:rPr>
          <w:rFonts w:hint="eastAsia"/>
          <w:noProof/>
        </w:rPr>
        <w:drawing>
          <wp:inline distT="0" distB="0" distL="0" distR="0">
            <wp:extent cx="4933950" cy="281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950" cy="2819400"/>
                    </a:xfrm>
                    <a:prstGeom prst="rect">
                      <a:avLst/>
                    </a:prstGeom>
                    <a:noFill/>
                    <a:ln>
                      <a:noFill/>
                    </a:ln>
                  </pic:spPr>
                </pic:pic>
              </a:graphicData>
            </a:graphic>
          </wp:inline>
        </w:drawing>
      </w:r>
    </w:p>
    <w:p w:rsidR="000D5481" w:rsidRDefault="000D5481" w:rsidP="000D5481">
      <w:pPr>
        <w:rPr>
          <w:rFonts w:hint="eastAsia"/>
        </w:rPr>
      </w:pPr>
    </w:p>
    <w:p w:rsidR="000D5481" w:rsidRDefault="000D5481" w:rsidP="000D5481">
      <w:pPr>
        <w:rPr>
          <w:rFonts w:hint="eastAsia"/>
        </w:rPr>
      </w:pPr>
    </w:p>
    <w:p w:rsidR="000D5481" w:rsidRDefault="000D5481" w:rsidP="000D5481">
      <w:pPr>
        <w:rPr>
          <w:rFonts w:hint="eastAsia"/>
        </w:rPr>
      </w:pPr>
    </w:p>
    <w:p w:rsidR="000D5481" w:rsidRDefault="000D5481" w:rsidP="000D5481">
      <w:pPr>
        <w:rPr>
          <w:rFonts w:hint="eastAsia"/>
        </w:rPr>
      </w:pPr>
    </w:p>
    <w:p w:rsidR="00E6015A" w:rsidRDefault="00E6015A">
      <w:pPr>
        <w:rPr>
          <w:rFonts w:hint="eastAsia"/>
        </w:rPr>
      </w:pPr>
      <w:bookmarkStart w:id="0" w:name="_GoBack"/>
      <w:bookmarkEnd w:id="0"/>
    </w:p>
    <w:sectPr w:rsidR="00E6015A">
      <w:pgSz w:w="11905" w:h="16837"/>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DengXian">
    <w:altName w:val="宋体"/>
    <w:charset w:val="86"/>
    <w:family w:val="auto"/>
    <w:pitch w:val="default"/>
    <w:sig w:usb0="A00002BF" w:usb1="38CF7CFA" w:usb2="00000016" w:usb3="00000000" w:csb0="0004000F" w:csb1="00000000"/>
  </w:font>
  <w:font w:name="楷体">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481"/>
    <w:rsid w:val="000D0F4D"/>
    <w:rsid w:val="000D5481"/>
    <w:rsid w:val="00E6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81"/>
    <w:pPr>
      <w:widowControl w:val="0"/>
      <w:jc w:val="both"/>
    </w:pPr>
    <w:rPr>
      <w:rFonts w:ascii="DengXian" w:eastAsia="DengXian" w:hAnsi="DengX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5481"/>
    <w:rPr>
      <w:sz w:val="18"/>
      <w:szCs w:val="18"/>
    </w:rPr>
  </w:style>
  <w:style w:type="character" w:customStyle="1" w:styleId="Char">
    <w:name w:val="批注框文本 Char"/>
    <w:basedOn w:val="a0"/>
    <w:link w:val="a3"/>
    <w:uiPriority w:val="99"/>
    <w:semiHidden/>
    <w:rsid w:val="000D5481"/>
    <w:rPr>
      <w:rFonts w:ascii="DengXian" w:eastAsia="DengXian" w:hAnsi="DengXi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81"/>
    <w:pPr>
      <w:widowControl w:val="0"/>
      <w:jc w:val="both"/>
    </w:pPr>
    <w:rPr>
      <w:rFonts w:ascii="DengXian" w:eastAsia="DengXian" w:hAnsi="DengX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5481"/>
    <w:rPr>
      <w:sz w:val="18"/>
      <w:szCs w:val="18"/>
    </w:rPr>
  </w:style>
  <w:style w:type="character" w:customStyle="1" w:styleId="Char">
    <w:name w:val="批注框文本 Char"/>
    <w:basedOn w:val="a0"/>
    <w:link w:val="a3"/>
    <w:uiPriority w:val="99"/>
    <w:semiHidden/>
    <w:rsid w:val="000D5481"/>
    <w:rPr>
      <w:rFonts w:ascii="DengXian" w:eastAsia="DengXian" w:hAnsi="DengXi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1044</Characters>
  <Application>Microsoft Office Word</Application>
  <DocSecurity>0</DocSecurity>
  <Lines>8</Lines>
  <Paragraphs>2</Paragraphs>
  <ScaleCrop>false</ScaleCrop>
  <Company>Sky123.Org</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2017-06-02T06:00:00Z</dcterms:created>
  <dcterms:modified xsi:type="dcterms:W3CDTF">2017-06-02T06:01:00Z</dcterms:modified>
</cp:coreProperties>
</file>