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74" w:rsidRPr="00345E74" w:rsidRDefault="00345E74" w:rsidP="00345E74">
      <w:pPr>
        <w:pStyle w:val="a5"/>
        <w:jc w:val="center"/>
        <w:rPr>
          <w:rFonts w:hint="eastAsia"/>
          <w:color w:val="000000"/>
          <w:sz w:val="24"/>
          <w:szCs w:val="24"/>
        </w:rPr>
      </w:pPr>
      <w:r>
        <w:rPr>
          <w:b/>
          <w:bCs/>
          <w:color w:val="000000"/>
          <w:sz w:val="27"/>
          <w:szCs w:val="27"/>
        </w:rPr>
        <w:t>关于评选</w:t>
      </w:r>
      <w:r>
        <w:rPr>
          <w:b/>
          <w:bCs/>
          <w:color w:val="000000"/>
          <w:sz w:val="27"/>
          <w:szCs w:val="27"/>
        </w:rPr>
        <w:t>2010</w:t>
      </w:r>
      <w:r>
        <w:rPr>
          <w:b/>
          <w:bCs/>
          <w:color w:val="000000"/>
          <w:sz w:val="27"/>
          <w:szCs w:val="27"/>
        </w:rPr>
        <w:t>级第三阶段、</w:t>
      </w:r>
      <w:r>
        <w:rPr>
          <w:b/>
          <w:bCs/>
          <w:color w:val="000000"/>
          <w:sz w:val="27"/>
          <w:szCs w:val="27"/>
        </w:rPr>
        <w:t>2011</w:t>
      </w:r>
      <w:r>
        <w:rPr>
          <w:b/>
          <w:bCs/>
          <w:color w:val="000000"/>
          <w:sz w:val="27"/>
          <w:szCs w:val="27"/>
        </w:rPr>
        <w:t>级第二阶段优秀博士研究生奖学金的通知</w:t>
      </w:r>
    </w:p>
    <w:p w:rsidR="00345E74" w:rsidRDefault="00345E74" w:rsidP="00345E74">
      <w:pPr>
        <w:pStyle w:val="a5"/>
        <w:rPr>
          <w:color w:val="000000"/>
        </w:rPr>
      </w:pPr>
      <w:r>
        <w:rPr>
          <w:color w:val="000000"/>
          <w:sz w:val="24"/>
          <w:szCs w:val="24"/>
        </w:rPr>
        <w:t>各学院（系、所）：</w:t>
      </w:r>
      <w:r>
        <w:rPr>
          <w:color w:val="000000"/>
          <w:sz w:val="24"/>
          <w:szCs w:val="24"/>
        </w:rPr>
        <w:br/>
        <w:t xml:space="preserve">    </w:t>
      </w:r>
      <w:r>
        <w:rPr>
          <w:color w:val="000000"/>
          <w:sz w:val="24"/>
          <w:szCs w:val="24"/>
        </w:rPr>
        <w:t>根据同</w:t>
      </w:r>
      <w:proofErr w:type="gramStart"/>
      <w:r>
        <w:rPr>
          <w:color w:val="000000"/>
          <w:sz w:val="24"/>
          <w:szCs w:val="24"/>
        </w:rPr>
        <w:t>研</w:t>
      </w:r>
      <w:proofErr w:type="gramEnd"/>
      <w:r>
        <w:rPr>
          <w:color w:val="000000"/>
          <w:sz w:val="24"/>
          <w:szCs w:val="24"/>
        </w:rPr>
        <w:t>[2010]43</w:t>
      </w:r>
      <w:r>
        <w:rPr>
          <w:color w:val="000000"/>
          <w:sz w:val="24"/>
          <w:szCs w:val="24"/>
        </w:rPr>
        <w:t>号文件（见附件一）要求，</w:t>
      </w:r>
      <w:proofErr w:type="gramStart"/>
      <w:r>
        <w:rPr>
          <w:color w:val="000000"/>
          <w:sz w:val="24"/>
          <w:szCs w:val="24"/>
        </w:rPr>
        <w:t>现启动</w:t>
      </w:r>
      <w:proofErr w:type="gramEnd"/>
      <w:r>
        <w:rPr>
          <w:color w:val="000000"/>
          <w:sz w:val="24"/>
          <w:szCs w:val="24"/>
        </w:rPr>
        <w:t>2010</w:t>
      </w:r>
      <w:r>
        <w:rPr>
          <w:color w:val="000000"/>
          <w:sz w:val="24"/>
          <w:szCs w:val="24"/>
        </w:rPr>
        <w:t>级第三阶段、</w:t>
      </w:r>
      <w:r>
        <w:rPr>
          <w:color w:val="000000"/>
          <w:sz w:val="24"/>
          <w:szCs w:val="24"/>
        </w:rPr>
        <w:t>2011</w:t>
      </w:r>
      <w:r>
        <w:rPr>
          <w:color w:val="000000"/>
          <w:sz w:val="24"/>
          <w:szCs w:val="24"/>
        </w:rPr>
        <w:t>级第二阶段优秀博士研究生奖学金（以下简称第三阶段和第二阶段）评选工作。请各学院（系、所）根据文件精神及通知要求，公正、公开、公平地做好此次评选工作。</w:t>
      </w:r>
      <w:r>
        <w:rPr>
          <w:color w:val="000000"/>
          <w:sz w:val="24"/>
          <w:szCs w:val="24"/>
        </w:rPr>
        <w:br/>
      </w:r>
      <w:r>
        <w:rPr>
          <w:rStyle w:val="a4"/>
          <w:color w:val="000000"/>
          <w:sz w:val="24"/>
          <w:szCs w:val="24"/>
        </w:rPr>
        <w:t>一、评选范围</w:t>
      </w:r>
      <w:r>
        <w:rPr>
          <w:b/>
          <w:bCs/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    1</w:t>
      </w:r>
      <w:r>
        <w:rPr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2010</w:t>
      </w:r>
      <w:r>
        <w:rPr>
          <w:color w:val="000000"/>
          <w:sz w:val="24"/>
          <w:szCs w:val="24"/>
        </w:rPr>
        <w:t>级第三阶段优秀博士生奖学金涵盖：</w:t>
      </w:r>
      <w:r>
        <w:rPr>
          <w:color w:val="000000"/>
          <w:sz w:val="24"/>
          <w:szCs w:val="24"/>
        </w:rPr>
        <w:t>2010</w:t>
      </w:r>
      <w:r>
        <w:rPr>
          <w:color w:val="000000"/>
          <w:sz w:val="24"/>
          <w:szCs w:val="24"/>
        </w:rPr>
        <w:t>级普通招考博士研究生、</w:t>
      </w:r>
      <w:r>
        <w:rPr>
          <w:color w:val="000000"/>
          <w:sz w:val="24"/>
          <w:szCs w:val="24"/>
        </w:rPr>
        <w:t>2010</w:t>
      </w:r>
      <w:r>
        <w:rPr>
          <w:color w:val="000000"/>
          <w:sz w:val="24"/>
          <w:szCs w:val="24"/>
        </w:rPr>
        <w:t>级硕博连读生；</w:t>
      </w:r>
      <w:r>
        <w:rPr>
          <w:color w:val="000000"/>
          <w:sz w:val="24"/>
          <w:szCs w:val="24"/>
        </w:rPr>
        <w:br/>
        <w:t>    2</w:t>
      </w:r>
      <w:r>
        <w:rPr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2011</w:t>
      </w:r>
      <w:r>
        <w:rPr>
          <w:color w:val="000000"/>
          <w:sz w:val="24"/>
          <w:szCs w:val="24"/>
        </w:rPr>
        <w:t>级第二阶段优秀博士生奖学金涵盖：</w:t>
      </w:r>
      <w:r>
        <w:rPr>
          <w:color w:val="000000"/>
          <w:sz w:val="24"/>
          <w:szCs w:val="24"/>
        </w:rPr>
        <w:t>2011</w:t>
      </w:r>
      <w:r>
        <w:rPr>
          <w:color w:val="000000"/>
          <w:sz w:val="24"/>
          <w:szCs w:val="24"/>
        </w:rPr>
        <w:t>级普通招考博士研究生、</w:t>
      </w:r>
      <w:r>
        <w:rPr>
          <w:color w:val="000000"/>
          <w:sz w:val="24"/>
          <w:szCs w:val="24"/>
        </w:rPr>
        <w:t>2011</w:t>
      </w:r>
      <w:r>
        <w:rPr>
          <w:color w:val="000000"/>
          <w:sz w:val="24"/>
          <w:szCs w:val="24"/>
        </w:rPr>
        <w:t>级硕博连读生和</w:t>
      </w:r>
      <w:proofErr w:type="gramStart"/>
      <w:r>
        <w:rPr>
          <w:color w:val="000000"/>
          <w:sz w:val="24"/>
          <w:szCs w:val="24"/>
        </w:rPr>
        <w:t>2010</w:t>
      </w:r>
      <w:r>
        <w:rPr>
          <w:color w:val="000000"/>
          <w:sz w:val="24"/>
          <w:szCs w:val="24"/>
        </w:rPr>
        <w:t>级直博生</w:t>
      </w:r>
      <w:proofErr w:type="gramEnd"/>
      <w:r>
        <w:rPr>
          <w:color w:val="000000"/>
          <w:sz w:val="24"/>
          <w:szCs w:val="24"/>
        </w:rPr>
        <w:t>。</w:t>
      </w:r>
      <w:r>
        <w:rPr>
          <w:color w:val="000000"/>
          <w:sz w:val="24"/>
          <w:szCs w:val="24"/>
        </w:rPr>
        <w:br/>
      </w:r>
      <w:r>
        <w:rPr>
          <w:rStyle w:val="a4"/>
          <w:color w:val="000000"/>
          <w:sz w:val="24"/>
          <w:szCs w:val="24"/>
        </w:rPr>
        <w:t>二、奖励名额及标准</w:t>
      </w:r>
      <w:r>
        <w:rPr>
          <w:b/>
          <w:bCs/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    1</w:t>
      </w:r>
      <w:r>
        <w:rPr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2010</w:t>
      </w:r>
      <w:r>
        <w:rPr>
          <w:color w:val="000000"/>
          <w:sz w:val="24"/>
          <w:szCs w:val="24"/>
        </w:rPr>
        <w:t>级第三阶段优秀博士生奖学金：</w:t>
      </w:r>
      <w:r>
        <w:rPr>
          <w:color w:val="000000"/>
          <w:sz w:val="24"/>
          <w:szCs w:val="24"/>
        </w:rPr>
        <w:t>80</w:t>
      </w:r>
      <w:r>
        <w:rPr>
          <w:color w:val="000000"/>
          <w:sz w:val="24"/>
          <w:szCs w:val="24"/>
        </w:rPr>
        <w:t>名，</w:t>
      </w:r>
      <w:r>
        <w:rPr>
          <w:color w:val="000000"/>
          <w:sz w:val="24"/>
          <w:szCs w:val="24"/>
        </w:rPr>
        <w:t>1.5</w:t>
      </w:r>
      <w:r>
        <w:rPr>
          <w:color w:val="000000"/>
          <w:sz w:val="24"/>
          <w:szCs w:val="24"/>
        </w:rPr>
        <w:t>万</w:t>
      </w:r>
      <w:r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人；</w:t>
      </w:r>
      <w:r>
        <w:rPr>
          <w:color w:val="000000"/>
          <w:sz w:val="24"/>
          <w:szCs w:val="24"/>
        </w:rPr>
        <w:br/>
        <w:t>    2</w:t>
      </w:r>
      <w:r>
        <w:rPr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2011</w:t>
      </w:r>
      <w:r>
        <w:rPr>
          <w:color w:val="000000"/>
          <w:sz w:val="24"/>
          <w:szCs w:val="24"/>
        </w:rPr>
        <w:t>级第二阶段优秀博士生奖学金：一等：</w:t>
      </w:r>
      <w:r>
        <w:rPr>
          <w:color w:val="000000"/>
          <w:sz w:val="24"/>
          <w:szCs w:val="24"/>
        </w:rPr>
        <w:t>50</w:t>
      </w:r>
      <w:r>
        <w:rPr>
          <w:color w:val="000000"/>
          <w:sz w:val="24"/>
          <w:szCs w:val="24"/>
        </w:rPr>
        <w:t>名，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万</w:t>
      </w:r>
      <w:r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人；二等：</w:t>
      </w:r>
      <w:r>
        <w:rPr>
          <w:color w:val="000000"/>
          <w:sz w:val="24"/>
          <w:szCs w:val="24"/>
        </w:rPr>
        <w:t>100</w:t>
      </w:r>
      <w:r>
        <w:rPr>
          <w:color w:val="000000"/>
          <w:sz w:val="24"/>
          <w:szCs w:val="24"/>
        </w:rPr>
        <w:t>名，</w:t>
      </w:r>
      <w:r>
        <w:rPr>
          <w:color w:val="000000"/>
          <w:sz w:val="24"/>
          <w:szCs w:val="24"/>
        </w:rPr>
        <w:t>0.5</w:t>
      </w:r>
      <w:r>
        <w:rPr>
          <w:color w:val="000000"/>
          <w:sz w:val="24"/>
          <w:szCs w:val="24"/>
        </w:rPr>
        <w:t>万</w:t>
      </w:r>
      <w:r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人。</w:t>
      </w:r>
      <w:r>
        <w:rPr>
          <w:color w:val="000000"/>
          <w:sz w:val="24"/>
          <w:szCs w:val="24"/>
        </w:rPr>
        <w:br/>
      </w:r>
      <w:r>
        <w:rPr>
          <w:rStyle w:val="a4"/>
          <w:color w:val="000000"/>
          <w:sz w:val="24"/>
          <w:szCs w:val="24"/>
        </w:rPr>
        <w:t>三、评选流程</w:t>
      </w:r>
      <w:r>
        <w:rPr>
          <w:b/>
          <w:bCs/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   </w:t>
      </w:r>
      <w:r>
        <w:rPr>
          <w:color w:val="000000"/>
          <w:sz w:val="24"/>
          <w:szCs w:val="24"/>
        </w:rPr>
        <w:t>研究生院根据文件精神，将</w:t>
      </w:r>
      <w:r>
        <w:rPr>
          <w:color w:val="000000"/>
          <w:sz w:val="24"/>
          <w:szCs w:val="24"/>
        </w:rPr>
        <w:t>2011</w:t>
      </w:r>
      <w:r>
        <w:rPr>
          <w:color w:val="000000"/>
          <w:sz w:val="24"/>
          <w:szCs w:val="24"/>
        </w:rPr>
        <w:t>级第二阶段优秀博士生奖学金一等奖</w:t>
      </w:r>
      <w:r>
        <w:rPr>
          <w:color w:val="000000"/>
          <w:sz w:val="24"/>
          <w:szCs w:val="24"/>
        </w:rPr>
        <w:t>50</w:t>
      </w:r>
      <w:r>
        <w:rPr>
          <w:color w:val="000000"/>
          <w:sz w:val="24"/>
          <w:szCs w:val="24"/>
        </w:rPr>
        <w:t>名、二等奖</w:t>
      </w:r>
      <w:r>
        <w:rPr>
          <w:color w:val="000000"/>
          <w:sz w:val="24"/>
          <w:szCs w:val="24"/>
        </w:rPr>
        <w:t>100</w:t>
      </w:r>
      <w:r>
        <w:rPr>
          <w:color w:val="000000"/>
          <w:sz w:val="24"/>
          <w:szCs w:val="24"/>
        </w:rPr>
        <w:t>名按培养单位的博士招生人数、培养质量、学科建设水平、生源质量和科学研究能力等因素，综合确定各单位资助名额（具体见附件二）。</w:t>
      </w:r>
      <w:r>
        <w:rPr>
          <w:color w:val="000000"/>
          <w:sz w:val="24"/>
          <w:szCs w:val="24"/>
        </w:rPr>
        <w:t>2011</w:t>
      </w:r>
      <w:r>
        <w:rPr>
          <w:color w:val="000000"/>
          <w:sz w:val="24"/>
          <w:szCs w:val="24"/>
        </w:rPr>
        <w:t>级二阶段：各学院须在限定名额内组织学生申报、初审、学院公示等工作，排序后提交汇总表（流程与国家奖学金同步，并与国家奖学金、社会捐赠奖学金和校级奖学金不可兼得）。</w:t>
      </w:r>
      <w:r>
        <w:rPr>
          <w:color w:val="000000"/>
          <w:sz w:val="24"/>
          <w:szCs w:val="24"/>
        </w:rPr>
        <w:br/>
        <w:t>    2010</w:t>
      </w:r>
      <w:r>
        <w:rPr>
          <w:color w:val="000000"/>
          <w:sz w:val="24"/>
          <w:szCs w:val="24"/>
        </w:rPr>
        <w:t>级第三阶段：采用公开申报的方式，学生申请、导师审核、专业委员会讨论形成决议、分委员会主席审核、学院公示、学院排序后提交汇总表（流程按本规定，可与国家奖学金、社会捐赠奖学金和校级奖学金兼得）。</w:t>
      </w:r>
      <w:r>
        <w:rPr>
          <w:color w:val="000000"/>
          <w:sz w:val="24"/>
          <w:szCs w:val="24"/>
        </w:rPr>
        <w:br/>
      </w:r>
      <w:r>
        <w:rPr>
          <w:rStyle w:val="a4"/>
          <w:color w:val="000000"/>
          <w:sz w:val="24"/>
          <w:szCs w:val="24"/>
        </w:rPr>
        <w:t>四、评审材料</w:t>
      </w:r>
      <w:r>
        <w:rPr>
          <w:b/>
          <w:bCs/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    1.</w:t>
      </w:r>
      <w:r>
        <w:rPr>
          <w:color w:val="000000"/>
          <w:sz w:val="24"/>
          <w:szCs w:val="24"/>
        </w:rPr>
        <w:t>申请者提交优秀博士生资助申请表（见附件三和附件四），发表论文复印件（含：封面、目录、首页、封底）、专利证书复印件、获奖证书复印件和图书馆信息咨询部出具的</w:t>
      </w:r>
      <w:r>
        <w:rPr>
          <w:color w:val="000000"/>
          <w:sz w:val="24"/>
          <w:szCs w:val="24"/>
        </w:rPr>
        <w:t>SCI</w:t>
      </w:r>
      <w:r>
        <w:rPr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EI</w:t>
      </w:r>
      <w:r>
        <w:rPr>
          <w:color w:val="000000"/>
          <w:sz w:val="24"/>
          <w:szCs w:val="24"/>
        </w:rPr>
        <w:t>等文章检索证明等。</w:t>
      </w:r>
      <w:r>
        <w:rPr>
          <w:color w:val="000000"/>
          <w:sz w:val="24"/>
          <w:szCs w:val="24"/>
        </w:rPr>
        <w:br/>
        <w:t xml:space="preserve">    </w:t>
      </w:r>
      <w:r>
        <w:rPr>
          <w:color w:val="000000"/>
          <w:sz w:val="24"/>
          <w:szCs w:val="24"/>
        </w:rPr>
        <w:t>申请二阶段的学生科研成果认定时间为入学至</w:t>
      </w:r>
      <w:r>
        <w:rPr>
          <w:color w:val="000000"/>
          <w:sz w:val="24"/>
          <w:szCs w:val="24"/>
        </w:rPr>
        <w:t>2013</w:t>
      </w:r>
      <w:r>
        <w:rPr>
          <w:color w:val="000000"/>
          <w:sz w:val="24"/>
          <w:szCs w:val="24"/>
        </w:rPr>
        <w:t>年</w:t>
      </w:r>
      <w:r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月，且不与新生奖学金申请材料重复使用。</w:t>
      </w:r>
      <w:r>
        <w:rPr>
          <w:color w:val="000000"/>
          <w:sz w:val="24"/>
          <w:szCs w:val="24"/>
        </w:rPr>
        <w:br/>
        <w:t xml:space="preserve">    </w:t>
      </w:r>
      <w:r>
        <w:rPr>
          <w:color w:val="000000"/>
          <w:sz w:val="24"/>
          <w:szCs w:val="24"/>
        </w:rPr>
        <w:t>申请第三阶段的学生要求达到本学院研究生申请学位标准，科研成果认定时间为入学至</w:t>
      </w:r>
      <w:r>
        <w:rPr>
          <w:color w:val="000000"/>
          <w:sz w:val="24"/>
          <w:szCs w:val="24"/>
        </w:rPr>
        <w:t>2013</w:t>
      </w:r>
      <w:r>
        <w:rPr>
          <w:color w:val="000000"/>
          <w:sz w:val="24"/>
          <w:szCs w:val="24"/>
        </w:rPr>
        <w:t>年</w:t>
      </w:r>
      <w:r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月，且不与前两阶段重复使用。具体标准参照《同济大学关于博士硕士学位申请者发表学术论文的规定》及各学科拟定的期刊和会议目录。</w:t>
      </w:r>
      <w:r>
        <w:rPr>
          <w:color w:val="000000"/>
          <w:sz w:val="24"/>
          <w:szCs w:val="24"/>
        </w:rPr>
        <w:br/>
        <w:t>    2.</w:t>
      </w:r>
      <w:r>
        <w:rPr>
          <w:color w:val="000000"/>
          <w:sz w:val="24"/>
          <w:szCs w:val="24"/>
        </w:rPr>
        <w:t>申请三阶段的学生需提交延期审批表复印件；</w:t>
      </w:r>
      <w:r>
        <w:rPr>
          <w:color w:val="000000"/>
          <w:sz w:val="24"/>
          <w:szCs w:val="24"/>
        </w:rPr>
        <w:br/>
        <w:t>    3.</w:t>
      </w:r>
      <w:r>
        <w:rPr>
          <w:color w:val="000000"/>
          <w:sz w:val="24"/>
          <w:szCs w:val="24"/>
        </w:rPr>
        <w:t>申请三阶段的学生需提交不少于</w:t>
      </w:r>
      <w:r>
        <w:rPr>
          <w:color w:val="000000"/>
          <w:sz w:val="24"/>
          <w:szCs w:val="24"/>
        </w:rPr>
        <w:t>1000</w:t>
      </w:r>
      <w:r>
        <w:rPr>
          <w:color w:val="000000"/>
          <w:sz w:val="24"/>
          <w:szCs w:val="24"/>
        </w:rPr>
        <w:t>字的学习和科研计划（包括：</w:t>
      </w:r>
      <w:r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>已经完成的科研工作内容，</w:t>
      </w:r>
      <w:r>
        <w:rPr>
          <w:color w:val="000000"/>
          <w:sz w:val="24"/>
          <w:szCs w:val="24"/>
        </w:rPr>
        <w:t>b</w:t>
      </w:r>
      <w:r>
        <w:rPr>
          <w:color w:val="000000"/>
          <w:sz w:val="24"/>
          <w:szCs w:val="24"/>
        </w:rPr>
        <w:t>拟完成的科研工作内容及科研成果，</w:t>
      </w:r>
      <w:r>
        <w:rPr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时间节点安排和对毕业论文的期望）</w:t>
      </w:r>
      <w:r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br/>
        <w:t>    4.</w:t>
      </w:r>
      <w:r>
        <w:rPr>
          <w:color w:val="000000"/>
          <w:sz w:val="24"/>
          <w:szCs w:val="24"/>
        </w:rPr>
        <w:t>学院提交《优秀博士研究生奖学金申请汇总表》（附件五）</w:t>
      </w:r>
      <w:r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>二阶段和三阶</w:t>
      </w:r>
      <w:r>
        <w:rPr>
          <w:color w:val="000000"/>
          <w:sz w:val="24"/>
          <w:szCs w:val="24"/>
        </w:rPr>
        <w:lastRenderedPageBreak/>
        <w:t>段分开填写</w:t>
      </w:r>
      <w:r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。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br/>
        <w:t xml:space="preserve">    </w:t>
      </w:r>
      <w:r>
        <w:rPr>
          <w:color w:val="000000"/>
          <w:sz w:val="24"/>
          <w:szCs w:val="24"/>
        </w:rPr>
        <w:t>各单位应按照《关于评审</w:t>
      </w:r>
      <w:r>
        <w:rPr>
          <w:color w:val="000000"/>
          <w:sz w:val="24"/>
          <w:szCs w:val="24"/>
        </w:rPr>
        <w:t>2013</w:t>
      </w:r>
      <w:r>
        <w:rPr>
          <w:color w:val="000000"/>
          <w:sz w:val="24"/>
          <w:szCs w:val="24"/>
        </w:rPr>
        <w:t>年研究生国家奖学金和</w:t>
      </w:r>
      <w:r>
        <w:rPr>
          <w:color w:val="000000"/>
          <w:sz w:val="24"/>
          <w:szCs w:val="24"/>
        </w:rPr>
        <w:t>2012-2013</w:t>
      </w:r>
      <w:r>
        <w:rPr>
          <w:color w:val="000000"/>
          <w:sz w:val="24"/>
          <w:szCs w:val="24"/>
        </w:rPr>
        <w:t>学年研究生社会捐赠奖学金、校级奖学金的通知》，在</w:t>
      </w:r>
      <w:r>
        <w:rPr>
          <w:color w:val="000000"/>
          <w:sz w:val="24"/>
          <w:szCs w:val="24"/>
        </w:rPr>
        <w:t>2013</w:t>
      </w:r>
      <w:r>
        <w:rPr>
          <w:color w:val="000000"/>
          <w:sz w:val="24"/>
          <w:szCs w:val="24"/>
        </w:rPr>
        <w:t>年</w:t>
      </w:r>
      <w:r>
        <w:rPr>
          <w:color w:val="000000"/>
          <w:sz w:val="24"/>
          <w:szCs w:val="24"/>
        </w:rPr>
        <w:t>11</w:t>
      </w:r>
      <w:r>
        <w:rPr>
          <w:color w:val="000000"/>
          <w:sz w:val="24"/>
          <w:szCs w:val="24"/>
        </w:rPr>
        <w:t>月</w:t>
      </w:r>
      <w:r>
        <w:rPr>
          <w:color w:val="000000"/>
          <w:sz w:val="24"/>
          <w:szCs w:val="24"/>
        </w:rPr>
        <w:t>15</w:t>
      </w:r>
      <w:r>
        <w:rPr>
          <w:color w:val="000000"/>
          <w:sz w:val="24"/>
          <w:szCs w:val="24"/>
        </w:rPr>
        <w:t>日前将评选结果及申请材料一并报送研究生院基金管理办公室，同时将电子版本汇总表发送至</w:t>
      </w:r>
      <w:hyperlink r:id="rId4" w:history="1">
        <w:r>
          <w:rPr>
            <w:rStyle w:val="a3"/>
            <w:sz w:val="24"/>
            <w:szCs w:val="24"/>
          </w:rPr>
          <w:t>jjgl@gs.tongji.edu.cn</w:t>
        </w:r>
      </w:hyperlink>
      <w:r>
        <w:rPr>
          <w:color w:val="000000"/>
          <w:sz w:val="24"/>
          <w:szCs w:val="24"/>
        </w:rPr>
        <w:t>。</w:t>
      </w:r>
    </w:p>
    <w:p w:rsidR="00345E74" w:rsidRDefault="00345E74" w:rsidP="00345E74">
      <w:pPr>
        <w:pStyle w:val="a5"/>
        <w:rPr>
          <w:color w:val="000000"/>
        </w:rPr>
      </w:pPr>
      <w:r>
        <w:rPr>
          <w:color w:val="000000"/>
          <w:sz w:val="24"/>
          <w:szCs w:val="24"/>
        </w:rPr>
        <w:t xml:space="preserve">    </w:t>
      </w:r>
      <w:r>
        <w:rPr>
          <w:color w:val="000000"/>
          <w:sz w:val="24"/>
          <w:szCs w:val="24"/>
        </w:rPr>
        <w:t>特此通知。</w:t>
      </w:r>
    </w:p>
    <w:p w:rsidR="00345E74" w:rsidRDefault="00345E74" w:rsidP="00345E74">
      <w:pPr>
        <w:pStyle w:val="a5"/>
        <w:rPr>
          <w:color w:val="000000"/>
        </w:rPr>
      </w:pPr>
      <w:r>
        <w:rPr>
          <w:color w:val="000000"/>
          <w:sz w:val="24"/>
          <w:szCs w:val="24"/>
        </w:rPr>
        <w:t xml:space="preserve">                                                             </w:t>
      </w:r>
      <w:r>
        <w:rPr>
          <w:color w:val="000000"/>
          <w:sz w:val="24"/>
          <w:szCs w:val="24"/>
        </w:rPr>
        <w:t>研究生教育创新基金管理办公室</w:t>
      </w:r>
      <w:r>
        <w:rPr>
          <w:color w:val="000000"/>
          <w:sz w:val="24"/>
          <w:szCs w:val="24"/>
        </w:rPr>
        <w:br/>
        <w:t>                                                                           2013</w:t>
      </w:r>
      <w:r>
        <w:rPr>
          <w:color w:val="000000"/>
          <w:sz w:val="24"/>
          <w:szCs w:val="24"/>
        </w:rPr>
        <w:t>年</w:t>
      </w:r>
      <w:r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>月</w:t>
      </w:r>
      <w:r>
        <w:rPr>
          <w:color w:val="000000"/>
          <w:sz w:val="24"/>
          <w:szCs w:val="24"/>
        </w:rPr>
        <w:t>29</w:t>
      </w:r>
      <w:r>
        <w:rPr>
          <w:color w:val="000000"/>
          <w:sz w:val="24"/>
          <w:szCs w:val="24"/>
        </w:rPr>
        <w:t>日</w:t>
      </w:r>
      <w:r>
        <w:rPr>
          <w:color w:val="000000"/>
          <w:sz w:val="24"/>
          <w:szCs w:val="24"/>
        </w:rPr>
        <w:t xml:space="preserve">   </w:t>
      </w:r>
    </w:p>
    <w:p w:rsidR="009E109B" w:rsidRDefault="009E109B"/>
    <w:sectPr w:rsidR="009E109B" w:rsidSect="009E10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5E74"/>
    <w:rsid w:val="00345E74"/>
    <w:rsid w:val="006B305D"/>
    <w:rsid w:val="009E1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5E74"/>
    <w:rPr>
      <w:rFonts w:ascii="Tahoma" w:hAnsi="Tahoma" w:cs="Tahoma" w:hint="default"/>
      <w:color w:val="0000FF"/>
      <w:sz w:val="18"/>
      <w:szCs w:val="18"/>
      <w:u w:val="single"/>
    </w:rPr>
  </w:style>
  <w:style w:type="character" w:styleId="a4">
    <w:name w:val="Strong"/>
    <w:basedOn w:val="a0"/>
    <w:uiPriority w:val="22"/>
    <w:qFormat/>
    <w:rsid w:val="00345E74"/>
    <w:rPr>
      <w:rFonts w:ascii="Tahoma" w:hAnsi="Tahoma" w:cs="Tahoma" w:hint="default"/>
      <w:b/>
      <w:bCs/>
    </w:rPr>
  </w:style>
  <w:style w:type="paragraph" w:styleId="a5">
    <w:name w:val="Normal (Web)"/>
    <w:basedOn w:val="a"/>
    <w:uiPriority w:val="99"/>
    <w:semiHidden/>
    <w:unhideWhenUsed/>
    <w:rsid w:val="00345E74"/>
    <w:pPr>
      <w:widowControl/>
      <w:spacing w:before="100" w:beforeAutospacing="1" w:after="100" w:afterAutospacing="1"/>
      <w:jc w:val="left"/>
    </w:pPr>
    <w:rPr>
      <w:rFonts w:ascii="Tahoma" w:eastAsia="宋体" w:hAnsi="Tahoma" w:cs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0219">
      <w:bodyDiv w:val="1"/>
      <w:marLeft w:val="0"/>
      <w:marRight w:val="0"/>
      <w:marTop w:val="0"/>
      <w:marBottom w:val="2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4873">
      <w:bodyDiv w:val="1"/>
      <w:marLeft w:val="0"/>
      <w:marRight w:val="0"/>
      <w:marTop w:val="0"/>
      <w:marBottom w:val="2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jgl@gs.tongji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2013-09-30T07:15:00Z</dcterms:created>
  <dcterms:modified xsi:type="dcterms:W3CDTF">2013-09-30T07:16:00Z</dcterms:modified>
</cp:coreProperties>
</file>